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9.png" ContentType="image/png"/>
  <Override PartName="/word/media/rId23.png" ContentType="image/png"/>
  <Override PartName="/word/media/rId32.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numPr>
          <w:numId w:val="1001"/>
          <w:ilvl w:val="0"/>
        </w:numPr>
      </w:pPr>
      <w:r>
        <w:t xml:space="preserve">Harvard Forest, Petersham, MA 01366, USA</w:t>
      </w:r>
    </w:p>
    <w:p>
      <w:pPr>
        <w:numPr>
          <w:numId w:val="1001"/>
          <w:ilvl w:val="0"/>
        </w:numPr>
      </w:pPr>
      <w:r>
        <w:t xml:space="preserve">Faculty of Forestry and Environmental Management, University of New Brunswick, Fredericton, NB, E3B 5A3, Canada.</w:t>
      </w:r>
    </w:p>
    <w:p>
      <w:pPr>
        <w:numPr>
          <w:numId w:val="1001"/>
          <w:ilvl w:val="0"/>
        </w:numPr>
      </w:pPr>
      <w:r>
        <w:t xml:space="preserve">NCSU</w:t>
      </w:r>
    </w:p>
    <w:p>
      <w:pPr>
        <w:numPr>
          <w:numId w:val="1001"/>
          <w:ilvl w:val="0"/>
        </w:numPr>
      </w:pPr>
      <w:r>
        <w:t xml:space="preserve">SERC</w:t>
      </w:r>
    </w:p>
    <w:p>
      <w:pPr>
        <w:numPr>
          <w:numId w:val="1001"/>
          <w:ilvl w:val="0"/>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summary-paragraph"/>
      <w:r>
        <w:t xml:space="preserve">(Summary paragraph)</w:t>
      </w:r>
      <w:bookmarkEnd w:id="21"/>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length[REFS] and annual CO</w:t>
      </w:r>
      <w:r>
        <w:rPr>
          <w:vertAlign w:val="subscript"/>
        </w:rPr>
        <w:t xml:space="preserve">2</w:t>
      </w:r>
      <w:r>
        <w:t xml:space="preserve"> </w:t>
      </w:r>
      <w:r>
        <w:t xml:space="preserve">sequestration[REFS].</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2,3</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They contrast, however, with the expectation</w:t>
      </w:r>
      <w:r>
        <w:t xml:space="preserve"> </w:t>
      </w:r>
      <w:r>
        <w:rPr>
          <w:i/>
        </w:rPr>
        <w:t xml:space="preserve">in most models</w:t>
      </w:r>
      <w:r>
        <w:rPr>
          <w:vertAlign w:val="superscript"/>
          <w:i/>
        </w:rPr>
        <w:t xml:space="preserve">3</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p>
      <w:pPr>
        <w:pStyle w:val="Heading1"/>
      </w:pPr>
      <w:bookmarkStart w:id="22" w:name="introduction"/>
      <w:r>
        <w:t xml:space="preserve">(Introduction)</w:t>
      </w:r>
      <w:bookmarkEnd w:id="22"/>
    </w:p>
    <w:p>
      <w:pPr>
        <w:pStyle w:val="FirstParagraph"/>
      </w:pPr>
      <w:r>
        <w:t xml:space="preserve">(</w:t>
      </w:r>
      <w:r>
        <w:rPr>
          <w:i/>
        </w:rPr>
        <w:t xml:space="preserve">this first paragraph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However, their future under the current era of rapid change is uncertain</w:t>
      </w:r>
      <w:r>
        <w:rPr>
          <w:vertAlign w:val="superscript"/>
        </w:rPr>
        <w:t xml:space="preserve">5</w:t>
      </w:r>
      <w:r>
        <w:t xml:space="preserve">.</w:t>
      </w:r>
    </w:p>
    <w:p>
      <w:pPr>
        <w:pStyle w:val="BodyText"/>
      </w:pPr>
      <w:r>
        <w:rPr>
          <w:b/>
        </w:rPr>
        <w:t xml:space="preserve">In recent decades, warming temperatures have resulted in widespread phenological changes indicative of earlier arrival of spring</w:t>
      </w:r>
      <w:r>
        <w:rPr>
          <w:vertAlign w:val="superscript"/>
          <w:b/>
        </w:rPr>
        <w:t xml:space="preserve">6</w:t>
      </w:r>
      <w:r>
        <w:rPr>
          <w:b/>
        </w:rPr>
        <w:t xml:space="preserve"> </w:t>
      </w:r>
      <w:r>
        <w:rPr>
          <w:b/>
        </w:rPr>
        <w:t xml:space="preserve">and</w:t>
      </w:r>
      <w:r>
        <w:rPr>
          <w:b/>
        </w:rPr>
        <w:t xml:space="preserve"> </w:t>
      </w:r>
      <w:r>
        <w:rPr>
          <w:i/>
          <w:b/>
        </w:rPr>
        <w:t xml:space="preserve">often later autumn</w:t>
      </w:r>
      <w:r>
        <w:rPr>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b/>
          <w:vertAlign w:val="superscript"/>
        </w:rPr>
        <w:t xml:space="preserve">???</w:t>
      </w:r>
      <w:r>
        <w:rPr>
          <w:vertAlign w:val="superscript"/>
        </w:rPr>
        <w:t xml:space="preserve">,2</w:t>
      </w:r>
      <w:r>
        <w:t xml:space="preserve">, apparently because of sink-limitation to CO</w:t>
      </w:r>
      <w:r>
        <w:rPr>
          <w:vertAlign w:val="subscript"/>
        </w:rPr>
        <w:t xml:space="preserve">2</w:t>
      </w:r>
      <w:r>
        <w:t xml:space="preserve"> </w:t>
      </w:r>
      <w:r>
        <w:t xml:space="preserve">sequestration</w:t>
      </w:r>
      <w:r>
        <w:rPr>
          <w:vertAlign w:val="superscript"/>
        </w:rPr>
        <w:t xml:space="preserve">3</w:t>
      </w:r>
      <w:r>
        <w:t xml:space="preserve">, whereas warmer summer and autumn temperatures delay leaf senescence</w:t>
      </w:r>
      <w:r>
        <w:rPr>
          <w:b/>
          <w:vertAlign w:val="superscript"/>
        </w:rPr>
        <w:t xml:space="preserve">???</w:t>
      </w:r>
      <w:r>
        <w:rPr>
          <w:vertAlign w:val="superscript"/>
        </w:rPr>
        <w:t xml:space="preserve">,</w:t>
      </w:r>
      <w:r>
        <w:rPr>
          <w:b/>
          <w:vertAlign w:val="superscript"/>
        </w:rPr>
        <w:t xml:space="preserve">??</w:t>
      </w:r>
      <w:r>
        <w:rPr>
          <w:vertAlign w:val="superscript"/>
        </w:rPr>
        <w:t xml:space="preserve">,2,7–9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
        </w:rPr>
        <w:t xml:space="preserve">The expectation is that as growing season length increases, net annual carbon sequestered will increase as well (</w:t>
      </w:r>
      <w:r>
        <w:rPr>
          <w:i/>
          <w:b/>
        </w:rPr>
        <w:t xml:space="preserve">i,e</w:t>
      </w:r>
      <w:r>
        <w:rPr>
          <w:b/>
        </w:rPr>
        <w:t xml:space="preserve">, net ecosystem exchange,</w:t>
      </w:r>
      <w:r>
        <w:rPr>
          <w:b/>
        </w:rPr>
        <w:t xml:space="preserve"> </w:t>
      </w:r>
      <m:oMath>
        <m:r>
          <m:t>N</m:t>
        </m:r>
        <m:r>
          <m:t>E</m:t>
        </m:r>
        <m:r>
          <m:t>E</m:t>
        </m:r>
      </m:oMath>
      <w:r>
        <w:rPr>
          <w:b/>
        </w:rPr>
        <w:t xml:space="preserve">)</w:t>
      </w:r>
      <w:r>
        <w:rPr>
          <w:vertAlign w:val="superscript"/>
          <w:b/>
        </w:rPr>
        <w:t xml:space="preserve">10–12</w:t>
      </w:r>
      <w:r>
        <w:rPr>
          <w:b/>
        </w:rPr>
        <w:t xml:space="preserve">.</w:t>
      </w:r>
      <w:r>
        <w:t xml:space="preserve"> </w:t>
      </w:r>
      <w:r>
        <w:rPr>
          <w:i/>
        </w:rPr>
        <w:t xml:space="preserve">This expectation is represented in models.</w:t>
      </w:r>
      <w:r>
        <w:rPr>
          <w:vertAlign w:val="superscript"/>
          <w:i/>
        </w:rPr>
        <w:t xml:space="preserve">3</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
        </w:rPr>
        <w:t xml:space="preserve">will not necessarily lead to drastically increased C sequestration</w:t>
      </w:r>
      <w:r>
        <w:rPr>
          <w:vertAlign w:val="superscript"/>
        </w:rPr>
        <w:t xml:space="preserve">3</w:t>
      </w:r>
      <w:r>
        <w:t xml:space="preserve">.</w:t>
      </w:r>
    </w:p>
    <w:p>
      <w:pPr>
        <w:pStyle w:val="BodyText"/>
      </w:pPr>
      <w:r>
        <w:rPr>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13</w:t>
      </w:r>
      <w:r>
        <w:t xml:space="preserve"> </w:t>
      </w:r>
      <w:r>
        <w:t xml:space="preserve">[MORE]), but rely purely on correlations of annual growth to monthly temperatures and can tell us nothing about the timing of that growth.</w:t>
      </w:r>
    </w:p>
    <w:p>
      <w:pPr>
        <w:pStyle w:val="BodyText"/>
      </w:pPr>
      <w:r>
        <w:rPr>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
        </w:rPr>
        <w:t xml:space="preserve">14</w:t>
      </w:r>
      <w:r>
        <w:rPr>
          <w:i/>
        </w:rPr>
        <w:t xml:space="preserve"> </w:t>
      </w:r>
      <w:r>
        <w:t xml:space="preserve"> </w:t>
      </w:r>
      <w:r>
        <w:rPr>
          <w:b/>
        </w:rPr>
        <w:t xml:space="preserve">Here, we characterize how early spring temperatures affect stem growth phenology, maximum daily growth rates, and annual growth of temperate deciduous trees, separated into ring- and diffuse-porous groupings, which differ in growth phenology[</w:t>
      </w:r>
      <w:r>
        <w:rPr>
          <w:i/>
          <w:b/>
        </w:rPr>
        <w:t xml:space="preserve">D’Orangeville</w:t>
      </w:r>
      <w:r>
        <w:rPr>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14</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5797431"/>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3"/>
                    <a:stretch>
                      <a:fillRect/>
                    </a:stretch>
                  </pic:blipFill>
                  <pic:spPr bwMode="auto">
                    <a:xfrm>
                      <a:off x="0" y="0"/>
                      <a:ext cx="5334000" cy="579743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p>
      <w:pPr>
        <w:pStyle w:val="Heading1"/>
      </w:pPr>
      <w:bookmarkStart w:id="24" w:name="results"/>
      <w:r>
        <w:t xml:space="preserve">(Results)</w:t>
      </w:r>
      <w:bookmarkEnd w:id="24"/>
    </w:p>
    <w:p>
      <w:pPr>
        <w:pStyle w:val="Heading2"/>
      </w:pPr>
      <w:bookmarkStart w:id="25" w:name="overview-of-phenological-patterns"/>
      <w:r>
        <w:t xml:space="preserve">(overview of phenological patterns)</w:t>
      </w:r>
      <w:bookmarkEnd w:id="25"/>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6-10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Heading2"/>
      </w:pPr>
      <w:bookmarkStart w:id="26" w:name="critical-temperature-windows"/>
      <w:r>
        <w:t xml:space="preserve">(Critical temperature windows)</w:t>
      </w:r>
      <w:bookmarkEnd w:id="26"/>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7">
        <w:r>
          <w:rPr>
            <w:rStyle w:val="Hyperlink"/>
            <w:i/>
          </w:rPr>
          <w:t xml:space="preserve">GitHub issue #42</w:t>
        </w:r>
      </w:hyperlink>
      <w:r>
        <w:rPr>
          <w:i/>
        </w:rPr>
        <w:t xml:space="preserve">).</w:t>
      </w:r>
    </w:p>
    <w:p>
      <w:pPr>
        <w:pStyle w:val="Heading2"/>
      </w:pPr>
      <w:bookmarkStart w:id="28" w:name="climate-sensitivity-of-phenology"/>
      <w:r>
        <w:t xml:space="preserve">(Climate sensitivity of phenology )</w:t>
      </w:r>
      <w:bookmarkEnd w:id="28"/>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
        </w:rPr>
        <w:t xml:space="preserve">At SCBI, ring-porous</w:t>
      </w:r>
      <w:r>
        <w:rPr>
          <w:i/>
        </w:rPr>
        <w:t xml:space="preserve"> </w:t>
      </w:r>
      <m:oMath>
        <m:r>
          <m:t>D</m:t>
        </m:r>
        <m:r>
          <m:t>O</m:t>
        </m:r>
        <m:sSub>
          <m:e>
            <m:r>
              <m:t>Y</m:t>
            </m:r>
          </m:e>
          <m:sub>
            <m:r>
              <m:t>25</m:t>
            </m:r>
          </m:sub>
        </m:sSub>
      </m:oMath>
      <w:r>
        <w:rPr>
          <w:i/>
        </w:rPr>
        <w:t xml:space="preserve"> </w:t>
      </w:r>
      <w:r>
        <w:rPr>
          <w:i/>
        </w:rPr>
        <w:t xml:space="preserve">and</w:t>
      </w:r>
      <w:r>
        <w:rPr>
          <w:i/>
        </w:rPr>
        <w:t xml:space="preserve"> </w:t>
      </w:r>
      <m:oMath>
        <m:r>
          <m:t>D</m:t>
        </m:r>
        <m:r>
          <m:t>O</m:t>
        </m:r>
        <m:sSub>
          <m:e>
            <m:r>
              <m:t>Y</m:t>
            </m:r>
          </m:e>
          <m:sub>
            <m:r>
              <m:t>50</m:t>
            </m:r>
          </m:sub>
        </m:sSub>
      </m:oMath>
      <w:r>
        <w:rPr>
          <w:i/>
        </w:rPr>
        <w:t xml:space="preserve"> </w:t>
      </w:r>
      <w:r>
        <w:rPr>
          <w:i/>
        </w:rPr>
        <w:t xml:space="preserve">shifted earlier as a result of warmer springs whereas</w:t>
      </w:r>
      <w:r>
        <w:rPr>
          <w:i/>
        </w:rPr>
        <w:t xml:space="preserve"> </w:t>
      </w:r>
      <m:oMath>
        <m:r>
          <m:t>D</m:t>
        </m:r>
        <m:r>
          <m:t>O</m:t>
        </m:r>
        <m:sSub>
          <m:e>
            <m:r>
              <m:t>Y</m:t>
            </m:r>
          </m:e>
          <m:sub>
            <m:r>
              <m:t>75</m:t>
            </m:r>
          </m:sub>
        </m:sSub>
      </m:oMath>
      <w:r>
        <w:rPr>
          <w:i/>
        </w:rPr>
        <w:t xml:space="preserve"> </w:t>
      </w:r>
      <w:r>
        <w:rPr>
          <w:i/>
        </w:rPr>
        <w:t xml:space="preserve">did not shift significantly, resulting in a positive correlation between</w:t>
      </w:r>
      <w:r>
        <w:rPr>
          <w:i/>
        </w:rPr>
        <w:t xml:space="preserve"> </w:t>
      </w:r>
      <m:oMath>
        <m:sSub>
          <m:e>
            <m:r>
              <m:t>L</m:t>
            </m:r>
          </m:e>
          <m:sub>
            <m:r>
              <m:t>P</m:t>
            </m:r>
            <m:r>
              <m:t>G</m:t>
            </m:r>
            <m:r>
              <m:t>S</m:t>
            </m:r>
          </m:sub>
        </m:sSub>
      </m:oMath>
      <w:r>
        <w:rPr>
          <w:i/>
        </w:rPr>
        <w:t xml:space="preserve"> </w:t>
      </w:r>
      <w:r>
        <w:rPr>
          <w:i/>
        </w:rPr>
        <w:t xml:space="preserve">and</w:t>
      </w:r>
      <w:r>
        <w:rPr>
          <w:i/>
        </w:rPr>
        <w:t xml:space="preserve"> </w:t>
      </w:r>
      <m:oMath>
        <m:sSub>
          <m:e>
            <m:r>
              <m:t>T</m:t>
            </m:r>
          </m:e>
          <m:sub>
            <m:r>
              <m:t>m</m:t>
            </m:r>
            <m:r>
              <m:t>a</m:t>
            </m:r>
            <m:r>
              <m:t>x</m:t>
            </m:r>
          </m:sub>
        </m:sSub>
      </m:oMath>
      <w:r>
        <w:rPr>
          <w:i/>
        </w:rPr>
        <w:t xml:space="preserve"> </w:t>
      </w:r>
      <w:r>
        <w:rPr>
          <w:i/>
        </w:rPr>
        <w:t xml:space="preserve">during the critical temperature.</w:t>
      </w:r>
      <w:r>
        <w:t xml:space="preserve"> </w:t>
      </w:r>
      <w:r>
        <w:rPr>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Heading2"/>
      </w:pPr>
      <w:bookmarkStart w:id="31" w:name="climate-sensitivity-of-growth"/>
      <w:r>
        <w:t xml:space="preserve">(Climate sensitivity of growth)</w:t>
      </w:r>
      <w:bookmarkEnd w:id="31"/>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Heading1"/>
      </w:pPr>
      <w:bookmarkStart w:id="33" w:name="discussion"/>
      <w:r>
        <w:t xml:space="preserve">(Discussion)</w:t>
      </w:r>
      <w:bookmarkEnd w:id="33"/>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3</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Heading1"/>
      </w:pPr>
      <w:bookmarkStart w:id="34" w:name="content-to-incorporate"/>
      <w:r>
        <w:t xml:space="preserve">(Content to incorporate)</w:t>
      </w:r>
      <w:bookmarkEnd w:id="34"/>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15</w:t>
      </w:r>
    </w:p>
    <w:p>
      <w:pPr>
        <w:pStyle w:val="BodyText"/>
      </w:pPr>
      <w:r>
        <w:t xml:space="preserve">From Neil:</w:t>
      </w:r>
      <w:r>
        <w:t xml:space="preserve"> </w:t>
      </w:r>
      <w:r>
        <w:t xml:space="preserve">16</w:t>
      </w:r>
      <w:r>
        <w:t xml:space="preserve">,</w:t>
      </w:r>
      <w:r>
        <w:t xml:space="preserve"> </w:t>
      </w:r>
      <w:r>
        <w:t xml:space="preserve">17</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1</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35" w:name="methods"/>
      <w:r>
        <w:t xml:space="preserve">Methods</w:t>
      </w:r>
      <w:bookmarkEnd w:id="35"/>
    </w:p>
    <w:p>
      <w:pPr>
        <w:pStyle w:val="Heading2"/>
      </w:pPr>
      <w:bookmarkStart w:id="36" w:name="study-sites"/>
      <w:r>
        <w:t xml:space="preserve">Study sites</w:t>
      </w:r>
      <w:bookmarkEnd w:id="36"/>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p>
      <w:pPr>
        <w:pStyle w:val="Heading2"/>
      </w:pPr>
      <w:bookmarkStart w:id="37" w:name="data-collection-and-preparation"/>
      <w:r>
        <w:t xml:space="preserve">Data collection and preparation</w:t>
      </w:r>
      <w:bookmarkEnd w:id="37"/>
    </w:p>
    <w:p>
      <w:pPr>
        <w:pStyle w:val="Heading3"/>
      </w:pPr>
      <w:bookmarkStart w:id="38" w:name="dendrometer-bands"/>
      <w:r>
        <w:t xml:space="preserve">Dendrometer bands</w:t>
      </w:r>
      <w:bookmarkEnd w:id="38"/>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14</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14</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p>
      <w:pPr>
        <w:pStyle w:val="Heading3"/>
      </w:pPr>
      <w:bookmarkStart w:id="39" w:name="tree-rings"/>
      <w:r>
        <w:t xml:space="preserve">Tree-rings</w:t>
      </w:r>
      <w:bookmarkEnd w:id="39"/>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18</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19,20</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21</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22</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19</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19</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p>
      <w:pPr>
        <w:pStyle w:val="Heading3"/>
      </w:pPr>
      <w:bookmarkStart w:id="40" w:name="climate"/>
      <w:r>
        <w:t xml:space="preserve">Climate</w:t>
      </w:r>
      <w:bookmarkEnd w:id="40"/>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24</w:t>
      </w:r>
      <w:r>
        <w:t xml:space="preserve"> </w:t>
      </w:r>
      <w:r>
        <w:t xml:space="preserve">again via the ForestGEO Climate Data Portal v1.0.</w:t>
      </w:r>
      <w:r>
        <w:rPr>
          <w:vertAlign w:val="superscript"/>
        </w:rPr>
        <w:t xml:space="preserve">23</w:t>
      </w:r>
    </w:p>
    <w:p>
      <w:pPr>
        <w:pStyle w:val="Heading2"/>
      </w:pPr>
      <w:bookmarkStart w:id="42" w:name="determining-critical-temperature-windows"/>
      <w:r>
        <w:t xml:space="preserve">Determining critical temperature windows</w:t>
      </w:r>
      <w:bookmarkEnd w:id="42"/>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p>
      <w:pPr>
        <w:pStyle w:val="Heading2"/>
      </w:pPr>
      <w:bookmarkStart w:id="43" w:name="hypothesis-testing"/>
      <w:r>
        <w:t xml:space="preserve">Hypothesis testing</w:t>
      </w:r>
      <w:bookmarkEnd w:id="43"/>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p>
      <w:pPr>
        <w:pStyle w:val="Heading1"/>
      </w:pPr>
      <w:bookmarkStart w:id="44" w:name="acknowledgements"/>
      <w:r>
        <w:t xml:space="preserve">Acknowledgements</w:t>
      </w:r>
      <w:bookmarkEnd w:id="44"/>
    </w:p>
    <w:p>
      <w:pPr>
        <w:pStyle w:val="FirstParagraph"/>
      </w:pPr>
      <w:r>
        <w:t xml:space="preserve">people: (everyone who helped collect data– see list on GitHub), Jess Shue (data)</w:t>
      </w:r>
      <w:r>
        <w:t xml:space="preserve"> </w:t>
      </w:r>
      <w:r>
        <w:t xml:space="preserve">Funding: ForestGEO</w:t>
      </w:r>
    </w:p>
    <w:p>
      <w:pPr>
        <w:pStyle w:val="Heading1"/>
      </w:pPr>
      <w:bookmarkStart w:id="45" w:name="author-contributions"/>
      <w:r>
        <w:t xml:space="preserve">Author Contributions</w:t>
      </w:r>
      <w:bookmarkEnd w:id="45"/>
    </w:p>
    <w:p>
      <w:pPr>
        <w:pStyle w:val="Heading1"/>
      </w:pPr>
      <w:bookmarkStart w:id="46" w:name="supporting-information"/>
      <w:r>
        <w:t xml:space="preserve">Supporting Information</w:t>
      </w:r>
      <w:bookmarkEnd w:id="46"/>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p>
      <w:pPr>
        <w:pStyle w:val="Heading1"/>
      </w:pPr>
      <w:bookmarkStart w:id="47" w:name="references"/>
      <w:r>
        <w:t xml:space="preserve">References</w:t>
      </w:r>
      <w:bookmarkEnd w:id="47"/>
    </w:p>
    <w:bookmarkStart w:id="77" w:name="refs"/>
    <w:bookmarkStart w:id="48" w:name="ref-fu_maximum_2019"/>
    <w:p>
      <w:pPr>
        <w:pStyle w:val="Bibliography"/>
      </w:pPr>
      <w:r>
        <w:t xml:space="preserve">1.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48"/>
    <w:bookmarkStart w:id="49" w:name="ref-zohner_ongoing_2019"/>
    <w:p>
      <w:pPr>
        <w:pStyle w:val="Bibliography"/>
      </w:pPr>
      <w:r>
        <w:t xml:space="preserve">2.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49"/>
    <w:bookmarkStart w:id="50" w:name="ref-zani_increased_2020"/>
    <w:p>
      <w:pPr>
        <w:pStyle w:val="Bibliography"/>
      </w:pPr>
      <w:r>
        <w:t xml:space="preserve">3. Zani, D., Crowther, T. W., Mo, L., Renner, S. S. &amp; Zohner, C. M. Increased growing-season productivity drives earlier autumn leaf senescence in temperate trees. 7 (2020).</w:t>
      </w:r>
    </w:p>
    <w:bookmarkEnd w:id="50"/>
    <w:bookmarkStart w:id="51"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1"/>
    <w:bookmarkStart w:id="52"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2"/>
    <w:bookmarkStart w:id="53" w:name="ref-parmesan_globally_2003"/>
    <w:p>
      <w:pPr>
        <w:pStyle w:val="Bibliography"/>
      </w:pPr>
      <w:r>
        <w:t xml:space="preserve">6.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3"/>
    <w:bookmarkStart w:id="54" w:name="ref-crabbe_extreme_2016"/>
    <w:p>
      <w:pPr>
        <w:pStyle w:val="Bibliography"/>
      </w:pPr>
      <w:r>
        <w:t xml:space="preserve">7.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54"/>
    <w:bookmarkStart w:id="55" w:name="ref-jeong_phenology_2011"/>
    <w:p>
      <w:pPr>
        <w:pStyle w:val="Bibliography"/>
      </w:pPr>
      <w:r>
        <w:t xml:space="preserve">8. Jeong, S.-J., Ho, C.-H., Gim, H.-J. &amp; Brown, M. E. Phenology shifts at start vs. End of growing season in temperate vegetation over the Northern Hemisphere for the period 19822008.</w:t>
      </w:r>
      <w:r>
        <w:t xml:space="preserve"> </w:t>
      </w:r>
      <w:r>
        <w:rPr>
          <w:i/>
        </w:rPr>
        <w:t xml:space="preserve">Global Change Biology</w:t>
      </w:r>
      <w:r>
        <w:t xml:space="preserve"> </w:t>
      </w:r>
      <w:r>
        <w:rPr>
          <w:b/>
        </w:rPr>
        <w:t xml:space="preserve">17</w:t>
      </w:r>
      <w:r>
        <w:t xml:space="preserve">, 2385–2399 (2011).</w:t>
      </w:r>
    </w:p>
    <w:bookmarkEnd w:id="55"/>
    <w:bookmarkStart w:id="56" w:name="ref-ibanez_forecasting_2010"/>
    <w:p>
      <w:pPr>
        <w:pStyle w:val="Bibliography"/>
      </w:pPr>
      <w:r>
        <w:t xml:space="preserve">9.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56"/>
    <w:bookmarkStart w:id="57"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57"/>
    <w:bookmarkStart w:id="58"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58"/>
    <w:bookmarkStart w:id="59"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59"/>
    <w:bookmarkStart w:id="60"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60"/>
    <w:bookmarkStart w:id="61" w:name="ref-mcmahon_general_2015"/>
    <w:p>
      <w:pPr>
        <w:pStyle w:val="Bibliography"/>
      </w:pPr>
      <w:r>
        <w:t xml:space="preserve">14.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1"/>
    <w:bookmarkStart w:id="63" w:name="ref-delgado_differences_2020"/>
    <w:p>
      <w:pPr>
        <w:pStyle w:val="Bibliography"/>
      </w:pPr>
      <w:r>
        <w:t xml:space="preserve">15.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2">
        <w:r>
          <w:rPr>
            <w:rStyle w:val="Hyperlink"/>
          </w:rPr>
          <w:t xml:space="preserve">10.1073/pnas.2002713117</w:t>
        </w:r>
      </w:hyperlink>
      <w:r>
        <w:t xml:space="preserve">.</w:t>
      </w:r>
    </w:p>
    <w:bookmarkEnd w:id="63"/>
    <w:bookmarkStart w:id="64" w:name="ref-zhang_drought_2021"/>
    <w:p>
      <w:pPr>
        <w:pStyle w:val="Bibliography"/>
      </w:pPr>
      <w:r>
        <w:t xml:space="preserve">16.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4"/>
    <w:bookmarkStart w:id="65" w:name="ref-zhang_extended_2020"/>
    <w:p>
      <w:pPr>
        <w:pStyle w:val="Bibliography"/>
      </w:pPr>
      <w:r>
        <w:t xml:space="preserve">17.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65"/>
    <w:bookmarkStart w:id="66" w:name="ref-bourg_initial_2013"/>
    <w:p>
      <w:pPr>
        <w:pStyle w:val="Bibliography"/>
      </w:pPr>
      <w:r>
        <w:t xml:space="preserve">18.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66"/>
    <w:bookmarkStart w:id="67" w:name="ref-cook_time_1985"/>
    <w:p>
      <w:pPr>
        <w:pStyle w:val="Bibliography"/>
      </w:pPr>
      <w:r>
        <w:t xml:space="preserve">19. Cook, E. R. A Time Series Analysis Approach to Tree Ring Standardization. vol. PhD (University of Arizona, 1985).</w:t>
      </w:r>
    </w:p>
    <w:bookmarkEnd w:id="67"/>
    <w:bookmarkStart w:id="69" w:name="ref-cook_methods_1990"/>
    <w:p>
      <w:pPr>
        <w:pStyle w:val="Bibliography"/>
      </w:pPr>
      <w:r>
        <w:t xml:space="preserve">20.</w:t>
      </w:r>
      <w:r>
        <w:t xml:space="preserve"> </w:t>
      </w:r>
      <w:r>
        <w:rPr>
          <w:i/>
        </w:rPr>
        <w:t xml:space="preserve">Methods of Dendrochronology: Applications in the Environmental Sciences</w:t>
      </w:r>
      <w:r>
        <w:t xml:space="preserve">. (Springer Netherlands, 1990). doi:</w:t>
      </w:r>
      <w:hyperlink r:id="rId68">
        <w:r>
          <w:rPr>
            <w:rStyle w:val="Hyperlink"/>
          </w:rPr>
          <w:t xml:space="preserve">10.1007/978-94-015-7879-0</w:t>
        </w:r>
      </w:hyperlink>
      <w:r>
        <w:t xml:space="preserve">.</w:t>
      </w:r>
    </w:p>
    <w:bookmarkEnd w:id="69"/>
    <w:bookmarkStart w:id="70" w:name="ref-cook_calculating_1997"/>
    <w:p>
      <w:pPr>
        <w:pStyle w:val="Bibliography"/>
      </w:pPr>
      <w:r>
        <w:t xml:space="preserve">21.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0"/>
    <w:bookmarkStart w:id="71" w:name="ref-jones_estimating_1997"/>
    <w:p>
      <w:pPr>
        <w:pStyle w:val="Bibliography"/>
      </w:pPr>
      <w:r>
        <w:t xml:space="preserve">22.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1"/>
    <w:bookmarkStart w:id="73" w:name="X7472afe191c4e6f910d2bf0bfbf82e114a2f267"/>
    <w:p>
      <w:pPr>
        <w:pStyle w:val="Bibliography"/>
      </w:pPr>
      <w:r>
        <w:t xml:space="preserve">23. Anderson-Teixeira, K.</w:t>
      </w:r>
      <w:r>
        <w:t xml:space="preserve"> </w:t>
      </w:r>
      <w:r>
        <w:rPr>
          <w:i/>
        </w:rPr>
        <w:t xml:space="preserve">et al.</w:t>
      </w:r>
      <w:r>
        <w:t xml:space="preserve"> </w:t>
      </w:r>
      <w:r>
        <w:t xml:space="preserve">Forestgeo/Climate: Initial release. (2020) doi:</w:t>
      </w:r>
      <w:hyperlink r:id="rId72">
        <w:r>
          <w:rPr>
            <w:rStyle w:val="Hyperlink"/>
          </w:rPr>
          <w:t xml:space="preserve">10.5281/ZENODO.4041609</w:t>
        </w:r>
      </w:hyperlink>
      <w:r>
        <w:t xml:space="preserve">.</w:t>
      </w:r>
    </w:p>
    <w:bookmarkEnd w:id="73"/>
    <w:bookmarkStart w:id="74" w:name="ref-harris_version_2020"/>
    <w:p>
      <w:pPr>
        <w:pStyle w:val="Bibliography"/>
      </w:pPr>
      <w:r>
        <w:t xml:space="preserve">24.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4"/>
    <w:bookmarkStart w:id="75" w:name="ref-van_de_pol_identifying_2016"/>
    <w:p>
      <w:pPr>
        <w:pStyle w:val="Bibliography"/>
      </w:pPr>
      <w:r>
        <w:t xml:space="preserve">25.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75"/>
    <w:bookmarkStart w:id="76" w:name="ref-bates_fitting_2015"/>
    <w:p>
      <w:pPr>
        <w:pStyle w:val="Bibliography"/>
      </w:pPr>
      <w:r>
        <w:t xml:space="preserve">26.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32" Target="media/rId32.tiff" /><Relationship Type="http://schemas.openxmlformats.org/officeDocument/2006/relationships/hyperlink" Id="rId68" Target="https://doi.org/10.1007/978-94-015-7879-0" TargetMode="External" /><Relationship Type="http://schemas.openxmlformats.org/officeDocument/2006/relationships/hyperlink" Id="rId62" Target="https://doi.org/10.1073/pnas.2002713117" TargetMode="External" /><Relationship Type="http://schemas.openxmlformats.org/officeDocument/2006/relationships/hyperlink" Id="rId72" Target="https://doi.org/10.5281/ZENODO.4041609" TargetMode="External" /><Relationship Type="http://schemas.openxmlformats.org/officeDocument/2006/relationships/hyperlink" Id="rId27" Target="https://github.com/EcoClimLab/growth_phenology/issues/42"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8" Target="https://doi.org/10.1007/978-94-015-7879-0" TargetMode="External" /><Relationship Type="http://schemas.openxmlformats.org/officeDocument/2006/relationships/hyperlink" Id="rId62" Target="https://doi.org/10.1073/pnas.2002713117" TargetMode="External" /><Relationship Type="http://schemas.openxmlformats.org/officeDocument/2006/relationships/hyperlink" Id="rId72" Target="https://doi.org/10.5281/ZENODO.4041609" TargetMode="External" /><Relationship Type="http://schemas.openxmlformats.org/officeDocument/2006/relationships/hyperlink" Id="rId27" Target="https://github.com/EcoClimLab/growth_phenology/issues/42"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2021-01-16T22:16:19Z</dcterms:created>
  <dcterms:modified xsi:type="dcterms:W3CDTF">2021-01-16T22:16:19Z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